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From November through December of each budget development year, we request budget input from our Budget Supervisors  which includes building-level administration. The staffing needs are identified by Central Office Administrators based on programmatic requirements, student instructional needs/desires, input from Coordinators and Directors, student enrollment and any other State or Federal mandates.  We also look at trending in actual budget expenditures over a period of approximately five prior years to identify what a future budget need would reasonably be.  Throughout the budget development process, the Board of Education actively engages the community in a series of budget workshops to ensure public input is also garnered.  Both of the District's high schools offer comparable programs with the same set of expectations of staff and students.  Both of the District's Middle Schools offer comparable programs with the same set of expectations of staff and students. All five of the District's elementary schools offer comparable programs with the same expectations of staff and students.  If a particular building is hosting a specialized District-wide program for a certain sub-set of students ( i.e. an intensive program class for special education students), the "host" building will be selected based on physical facility capacity for the class, student enrollment, and staffing requirements/services which may already exist at the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