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Administrator and Superintendent of Schools. Building Principals and department heads assess the needs of their buildings and departments and meet with the Business Administrator and Superintendent to share their requests. Budget development is a year-long process with particular emphasis from October through March.
</w:t>
      </w:r>
    </w:p>
    <w:p>
      <w:pPr>
        <w:ind w:left="720"/>
      </w:pPr>
      <w:r>
        <w:rPr>
          <w:rFonts w:ascii="Garamond" w:hAnsi="Garamond"/>
        </w:rPr>
        <w:t>
</w:t>
      </w:r>
    </w:p>
    <w:p>
      <w:pPr>
        <w:ind w:left="720"/>
      </w:pPr>
      <w:r>
        <w:rPr>
          <w:rFonts w:ascii="Garamond" w:hAnsi="Garamond"/>
        </w:rPr>
        <w:t>All administration, department chairs, teachers are involved in the budget development process. In addition, the building principals represent their buildings after receiving feedback and requests from department chairs and curriculum specialists. Monthly budget presentations are shared with the Board of Education beginning in January. The Board approves the budget before it is taken to the voters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