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Greene CSD uses a zero-based budget approach to funding.  Each year the Administration Team meets with the Superintendent, Business Manager, and the BOE Budget Committee to define program requirements and goals as well as the necessary funding to achieve these objectives.  In conjunction with this assessment, the BOE identifies specific academic goals and objectives (ie: literacy, mental health, curriculum development) for the academic school year.  The budget process does not limit funding to the various schools, it is a natural outcome of the budget development process and each building's goals &amp; objectives.  Within this process, each school building and administrator is key to the development of their budget for the upcoming school year.
</w:t>
      </w:r>
    </w:p>
    <w:p>
      <w:pPr>
        <w:ind w:left="720"/>
      </w:pPr>
      <w:r>
        <w:rPr>
          <w:rFonts w:ascii="Garamond" w:hAnsi="Garamond"/>
        </w:rPr>
        <w:t>
</w:t>
      </w:r>
    </w:p>
    <w:p>
      <w:pPr>
        <w:ind w:left="720"/>
      </w:pPr>
      <w:r>
        <w:rPr>
          <w:rFonts w:ascii="Garamond" w:hAnsi="Garamond"/>
        </w:rPr>
        <w:t>Each Building Principal and Operational Administrator (buildings &amp; grounds, transportation, technology, CSE, business &amp; finance, school lunch program) are tasked with submitting an initial budget with data/funding under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
</w:t>
      </w:r>
    </w:p>
    <w:p>
      <w:pPr>
        <w:ind w:left="720"/>
      </w:pPr>
      <w:r>
        <w:rPr>
          <w:rFonts w:ascii="Garamond" w:hAnsi="Garamond"/>
        </w:rPr>
        <w:t>As the budget development proceeds, certain components are able to be better defined (health insurance, retirement system costs) and the overall appropriation budget becomes clearer.  During February to March, the BOE Budget Committee and the Administration Team continues to review both draft revenue &amp; appropriating budgets, available reserves, tax cap calculations, prioritize new initiatives and sets budget parameters and resources based on estimated projected state funding.  GCSD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
</w:t>
      </w:r>
    </w:p>
    <w:p>
      <w:pPr>
        <w:ind w:left="720"/>
      </w:pPr>
      <w:r>
        <w:rPr>
          <w:rFonts w:ascii="Garamond" w:hAnsi="Garamond"/>
        </w:rPr>
        <w:t>You will see the financial assessment of each building and relative spending levels per pupil are fairly consistent.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noted above, we do not have budget limitations on our schools.  You may notice slightly larger funding in our intermediate school (grades 3-5) where there is staff with more longevity.  The high school (grades 9-12) also has higher spending with the many programs required and opportunities provided to ensure students are college and career ready.  Spending levels per pupil in the various schools may also fluctuate based on class sizes moving throughout the district buildings.  Staffing levels have remained fairly consistent over the past several years.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significant increase in federal funding per pupil can be attributed to the ARP and ESSER funding that the district has received.</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