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District's Business Executive leads the budget development process and works in collaboration with the Superintendent of Schools.  The budget development process is ongoing, however, the majority of the budget work is done during December, January, February and March.  The Business Executive meets with each building administrator as well as department heads to determine the needs of students and estimate the costs of those student needs for the upcoming school year.
</w:t>
      </w:r>
    </w:p>
    <w:p>
      <w:pPr>
        <w:ind w:left="720"/>
      </w:pPr>
      <w:r>
        <w:rPr>
          <w:rFonts w:ascii="Garamond" w:hAnsi="Garamond"/>
        </w:rPr>
        <w:t>B. The Business Executive, along with the Building Principals, Director of Pupil Services, Director of Facilities, Director of Transportation, Technology Supervisor, Director of Food Service and the Superintendent are all involved in the budget development process.  The Board of Education is provided updates beginning in January/February and beyond with the opportunity to ask questions as needed.  The Building Principals represent the needs of the individual buildings for instructional purposes and the Director of Facilities represents the facility needs.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amount of Federal Funding budgeted for the 2022-2023 school year is related to funding received through ARP/ESSER funds and is much higher than in any normal year for federal funding.  I anticipate this will be the case until all ARP/ESSER funds are allocated/expended by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