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We first get our overall direction from the BoE sometime in January. After receiving input from the teachers on their expected spend, we factor in any new rate increases for health, dental, etc compared to previous year spending rates. The current actual trend rate is reviewed and compared to the current budget. The biggest driver is salaries which are reviewed against the teacher's contract.  The first iteration is presented to the board in March and it is tweaked several times until  finally approved by the board in April, which is then presented to the taxpayers for vote approval in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