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Assistant Superintendent of Finance starting in late fall. The Board of Education along with the Superintendent set budget goals in accordance with student needs. The responsible budget stakeholders; Principals, Special Ed Director, Athletic Director, Facilities Foreman and the Technology Director meet several times with the Assistant Superintendent. The Assistant Superintendent meets throughout the budget process with the Superintendent. A rollover budget is developed which shows all known salary increases as well as any other known expenses, such as health care, debt, TRS and ERS payments. Some expense drivers are not known or can't be calculated until later in the budget process such as transportation increases which rely on regional CPI. The tax levy cap is calculated which is the basis of the allowable tax levy discussion. Increases to the budget have been with the taxpayers in mind.
</w:t>
      </w:r>
    </w:p>
    <w:p>
      <w:pPr>
        <w:ind w:left="720"/>
      </w:pPr>
      <w:r>
        <w:rPr>
          <w:rFonts w:ascii="Garamond" w:hAnsi="Garamond"/>
        </w:rPr>
        <w:t>Each stakeholder presents a list of requirements as well as wishes for the upcoming year. These are prioritized according to student needs and areas of focus. The Superintendent budget is created and public discussion ensues. The Board of Education makes any changes to the Superintendent’s budget and adopts the budget that is presented to the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