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lead by the School Business Official, in conjunction with the 
</w:t>
      </w:r>
    </w:p>
    <w:p>
      <w:pPr>
        <w:ind w:left="720"/>
      </w:pPr>
      <w:r>
        <w:rPr>
          <w:rFonts w:ascii="Garamond" w:hAnsi="Garamond"/>
        </w:rPr>
        <w:t>Superintendent of Schools and Board of Education. The Business Official leads internal financial 
</w:t>
      </w:r>
    </w:p>
    <w:p>
      <w:pPr>
        <w:ind w:left="720"/>
      </w:pPr>
      <w:r>
        <w:rPr>
          <w:rFonts w:ascii="Garamond" w:hAnsi="Garamond"/>
        </w:rPr>
        <w:t>forecasting and the Superintendent and Board lead the external environmental input into the 
</w:t>
      </w:r>
    </w:p>
    <w:p>
      <w:pPr>
        <w:ind w:left="720"/>
      </w:pPr>
      <w:r>
        <w:rPr>
          <w:rFonts w:ascii="Garamond" w:hAnsi="Garamond"/>
        </w:rPr>
        <w:t>strategic and programmatic components of budget development. The needs of students are translated 
</w:t>
      </w:r>
    </w:p>
    <w:p>
      <w:pPr>
        <w:ind w:left="720"/>
      </w:pPr>
      <w:r>
        <w:rPr>
          <w:rFonts w:ascii="Garamond" w:hAnsi="Garamond"/>
        </w:rPr>
        <w:t>into a budget through input and meetings with PTAs, teachers, civic groups, school administrators, 
</w:t>
      </w:r>
    </w:p>
    <w:p>
      <w:pPr>
        <w:ind w:left="720"/>
      </w:pPr>
      <w:r>
        <w:rPr>
          <w:rFonts w:ascii="Garamond" w:hAnsi="Garamond"/>
        </w:rPr>
        <w:t>and other stakeholders. The Board adopts a detailed annual Budget Calendar that begins in October 
</w:t>
      </w:r>
    </w:p>
    <w:p>
      <w:pPr>
        <w:ind w:left="720"/>
      </w:pPr>
      <w:r>
        <w:rPr>
          <w:rFonts w:ascii="Garamond" w:hAnsi="Garamond"/>
        </w:rPr>
        <w:t>and ends in May for the budget development process.
</w:t>
      </w:r>
    </w:p>
    <w:p>
      <w:pPr>
        <w:ind w:left="720"/>
      </w:pPr>
      <w:r>
        <w:rPr>
          <w:rFonts w:ascii="Garamond" w:hAnsi="Garamond"/>
        </w:rPr>
        <w:t>B. All employees are involved at some level. Principals seek budget needs from staff in school 
</w:t>
      </w:r>
    </w:p>
    <w:p>
      <w:pPr>
        <w:ind w:left="720"/>
      </w:pPr>
      <w:r>
        <w:rPr>
          <w:rFonts w:ascii="Garamond" w:hAnsi="Garamond"/>
        </w:rPr>
        <w:t>buildings and administrators seek input from support personnel. The school board role is leadership 
</w:t>
      </w:r>
    </w:p>
    <w:p>
      <w:pPr>
        <w:ind w:left="720"/>
      </w:pPr>
      <w:r>
        <w:rPr>
          <w:rFonts w:ascii="Garamond" w:hAnsi="Garamond"/>
        </w:rPr>
        <w:t>and external environmental scanning, including work with various stakeholders in the community on 
</w:t>
      </w:r>
    </w:p>
    <w:p>
      <w:pPr>
        <w:ind w:left="720"/>
      </w:pPr>
      <w:r>
        <w:rPr>
          <w:rFonts w:ascii="Garamond" w:hAnsi="Garamond"/>
        </w:rPr>
        <w:t>budget needs and setting strategic goals for educational programs. The needs for individual school 
</w:t>
      </w:r>
    </w:p>
    <w:p>
      <w:pPr>
        <w:ind w:left="720"/>
      </w:pPr>
      <w:r>
        <w:rPr>
          <w:rFonts w:ascii="Garamond" w:hAnsi="Garamond"/>
        </w:rPr>
        <w:t>buildings are represented by the School Principal as the point person leading each school building, 
</w:t>
      </w:r>
    </w:p>
    <w:p>
      <w:pPr>
        <w:ind w:left="720"/>
      </w:pPr>
      <w:r>
        <w:rPr>
          <w:rFonts w:ascii="Garamond" w:hAnsi="Garamond"/>
        </w:rPr>
        <w:t>after discussions with all stakeholders in the building, PTAs, and community members.
</w:t>
      </w:r>
    </w:p>
    <w:p>
      <w:pPr>
        <w:ind w:left="720"/>
      </w:pPr>
      <w:r>
        <w:rPr>
          <w:rFonts w:ascii="Garamond" w:hAnsi="Garamond"/>
        </w:rPr>
        <w:t>C. A formula methodology is used for all building level expenses for supplies, equipment, 
</w:t>
      </w:r>
    </w:p>
    <w:p>
      <w:pPr>
        <w:ind w:left="720"/>
      </w:pPr>
      <w:r>
        <w:rPr>
          <w:rFonts w:ascii="Garamond" w:hAnsi="Garamond"/>
        </w:rPr>
        <w:t>furniture, textbooks, contractual, and similar other than personnel services costs that is based on 
</w:t>
      </w:r>
    </w:p>
    <w:p>
      <w:pPr>
        <w:ind w:left="720"/>
      </w:pPr>
      <w:r>
        <w:rPr>
          <w:rFonts w:ascii="Garamond" w:hAnsi="Garamond"/>
        </w:rPr>
        <w:t>enrollment, number of classrooms, and so forth. In addition, the District has a number of policies 
</w:t>
      </w:r>
    </w:p>
    <w:p>
      <w:pPr>
        <w:ind w:left="720"/>
      </w:pPr>
      <w:r>
        <w:rPr>
          <w:rFonts w:ascii="Garamond" w:hAnsi="Garamond"/>
        </w:rPr>
        <w:t>as it relates to class size and staff requirements for students with special needs that also
</w:t>
      </w:r>
    </w:p>
    <w:p>
      <w:pPr>
        <w:ind w:left="720"/>
      </w:pPr>
      <w:r>
        <w:rPr>
          <w:rFonts w:ascii="Garamond" w:hAnsi="Garamond"/>
        </w:rPr>
        <w:t>trigger formula-based allocations of staffing resources. The weightings for student needs are 
</w:t>
      </w:r>
    </w:p>
    <w:p>
      <w:pPr>
        <w:ind w:left="720"/>
      </w:pPr>
      <w:r>
        <w:rPr>
          <w:rFonts w:ascii="Garamond" w:hAnsi="Garamond"/>
        </w:rPr>
        <w:t>largely influenced based on needs such as AIS, ESOL, Special Education, and other related services
</w:t>
      </w:r>
    </w:p>
    <w:p>
      <w:pPr>
        <w:ind w:left="720"/>
      </w:pPr>
      <w:r>
        <w:rPr>
          <w:rFonts w:ascii="Garamond" w:hAnsi="Garamond"/>
        </w:rPr>
        <w:t>that are provided based on student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Certain schools house district-wide special education programs. For example, the Alden Terrace 
</w:t>
      </w:r>
    </w:p>
    <w:p>
      <w:pPr>
        <w:ind w:left="720"/>
      </w:pPr>
      <w:r>
        <w:rPr>
          <w:rFonts w:ascii="Garamond" w:hAnsi="Garamond"/>
        </w:rPr>
        <w:t>School houses a large district-wide special education program given the availability of classroom
</w:t>
      </w:r>
    </w:p>
    <w:p>
      <w:pPr>
        <w:ind w:left="720"/>
      </w:pPr>
      <w:r>
        <w:rPr>
          <w:rFonts w:ascii="Garamond" w:hAnsi="Garamond"/>
        </w:rPr>
        <w:t>space in that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