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engages in a multi-faceted approach when developing the budget.  Building-level administrators meet with the superintendent throughout the process to discuss needs and prioritized instructional and organizational needs.  Included in next level discussions are members of the leadership team, who provide information relevant to their systemic needs, such as facilities, nutrition, athletics, and transportation.  Community members are also included in stakeholder meetings to determine insights on district spending.  Additionally, we consult with outside entities on specific topics of the nature in special education and instruction needs of English language learners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may be some perceived discrepancy in spending, however, the answer is determined by the grade level of need.  For example, if students in one particular special education class move from the elementary to secondary school, the budget would reflect an increase in the secondary level.  Or, if a new class is introduced in one of the buildings, there may be a significant increase in equipment spending necessary for the program.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