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Assistant Superintendent for Business.  The process begins in November and continues until the final budget is adopted by the Board of Education in April.  Student needs are communicated through the building and district-wide administrators' assessments of students throughout the year.  All district administrators are involved in the budget process.  Multiple meetings are help to discuss and prioritize funding requests.  The Board of Education's role is to provide the overall priorities and financial guidelines.  Each building principal represents the needs of their respective building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 District has two elementary schools configured grades 2-5.  One of these schools, the Anne Hutchinson School houses all of the district-wide self-contained special education classes for those grades.  Therefore, special education costs and staffing at the Anne Hutchinson School will vary greatly from the special education costs and staffing at the District's other grade 2-5 school, the Greenvale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