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Superintendent of Schools and the Assistant Superintendent for Business.  The process begins in November and continues until the final budget is adopted by the Board of Education in April.  Student needs are communicated through the building and district-wide administrators' assessments of students throughout the year.  All district administrators are involved in the budget process.  Multiple meetings are help to discuss and prioritize funding requests.  The Board of Education's role is to provide the overall priorities and financial guidelines.  Each building principal represents the needs of their respective building  The district does not use a formula to allocate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Yes.  The District has two elementary schools configured grades 2-5.  One of these schools, the Anne Hutchinson School houses all of the district-wide self-contained special education classes for those grades.  Therefore, special education costs and staffing at the Anne Hutchinson School will vary greatly from the special education costs and staffing at the District's other grade 2-5 school, the Greenvale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