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Deputy Superintendent leads the budget development process, which begins in December, by receiving requests and data to support those requests from District Administrators (principals and curriculum directors). The District Administrators work with faculty and staff to understand the student needs and make the budgetary requests. The District also meets with the Financial Advisory Committee to discuss the budget and analyze areas of spend. The District holds 4 public work sessions to discuss the budget with the public and to gain input and recommendations from the community. The Board takes all of these recommendations into account and may or may not make adjustments prior to adopting the budget.
</w:t>
      </w:r>
    </w:p>
    <w:p>
      <w:pPr>
        <w:ind w:left="720"/>
      </w:pPr>
      <w:r>
        <w:rPr>
          <w:rFonts w:ascii="Garamond" w:hAnsi="Garamond"/>
        </w:rPr>
        <w:t>
</w:t>
      </w:r>
    </w:p>
    <w:p>
      <w:pPr>
        <w:ind w:left="720"/>
      </w:pPr>
      <w:r>
        <w:rPr>
          <w:rFonts w:ascii="Garamond" w:hAnsi="Garamond"/>
        </w:rPr>
        <w:t>We do not use a formula - we use a zero based approach and develop the budget based on individual school, grade level, and curriculum department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Elementary (North Side) and Junior/Senior High School (Wheatley) each house 2 life skills class which require higher operational costs with a much lower student enrollment than the traditional general education class at that level.  In addition, our Wheatley school houses most (except 1) of our District Wide Curriculum Administrators even though they work for all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