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Assistant Superintendent for Business lead the budget development process. This process starts officially in mid-November and lasts through April when the budget is adopted by the Board. At the beginning of the process all schools' teachers and their administration as
</w:t>
      </w:r>
    </w:p>
    <w:p>
      <w:pPr>
        <w:ind w:left="720"/>
      </w:pPr>
      <w:r>
        <w:rPr>
          <w:rFonts w:ascii="Garamond" w:hAnsi="Garamond"/>
        </w:rPr>
        <w:t>well as district's department heads are required to plan and submit their assessment in terms of the need of students or other specific items as they foresee it. Afterwards, the Superintendent, curriculum/instruction and finance team meet with school principals to identify and prioritize initiatives for
</w:t>
      </w:r>
    </w:p>
    <w:p>
      <w:pPr>
        <w:ind w:left="720"/>
      </w:pPr>
      <w:r>
        <w:rPr>
          <w:rFonts w:ascii="Garamond" w:hAnsi="Garamond"/>
        </w:rPr>
        <w:t>each school keeping in mind the available amount of resources from taxes, state aid etc. The same process is conducted with the department heads. The allocation of funding to schools is based on a combination of per pupil and specific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that exhibit higher than average per pupil spending have a higher than average concentration of special education students of various level of needs as well as English second language students at the entering and emerging levels of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serves 10,054 public students and more than 30,000 nonpublic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