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East Meadow School District develops its annual budget on a needs basis that is, in large part, driven by school enrollment. District administration evaluates data on student performance, service needs in areas such as special education, academic intervention services, English as a New Language, gifted and talented, etc., programmatic initiatives, facilities needs and improvements and other ancillary services for each school. There are some minor formulaic budgetary appropriations for block teacher supply allocations, field trip appropriations and arts in education services through BOCES that are included in the budget process. Staffing for each school building is based on enrollment projects presented to the Board of Education in March of each year for the upcoming school year. Those enrollment projections have been used for this report and may be different than our BEDS day enrollments. Variations in payroll per pupil are largely driven by the combined experience/seniority of a particular school building's staff. Two of our elementary schools, Meadowbrook Elementary and McVey Elementary, are currently Title 1.  Our Response to Intervention Committee is reviewing resources and establishing criteria in accordance with needs as identified on the basis of equ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