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Building budgets are developed using current program and enrollment data as well as student success rates. Additional costs are considered on an annual basis to address program enhancements and any weaknesses, if identified. Negotiated increases for building staff along with general and instructional supply allocations for each staff member are also a consideration in individual building budgets. The District has established a District-wide supply and equipment line to support one time building/program needs/improvements. The District budgets in a manner to protect unanticipated enrollment and staffing changes mid-year.  The District also utilizes any year-end excess fund balance to secure reserves for the future financial stability of the district. We work to offset increases within the budget with reductions in other areas to stay within the allowable tax levy limit calculation.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Cassavant Elementary and Freeville Elementary do not need/have extensive Special Education costs due to the enrollment size and demographics of those two buildings.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