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begins late November and is lead by the Assistant Superintendent for Business and Operations along with the Superintendent of Schools.  Each principal/department head is given the task to develop his/her building budget on a needs based approach.  The needs of the students are addressed according to current curriculum, health, and safety.  Additionally, the overall maintenance and infrastructure needs are addressed at each building with the Facilities Administrator.  Between December and January, meetings take place with each building leader so he/she can explain and justify the budget presented.  During the months of January and February, the Central Administration meets to discuss staffing, and district-wide needs.  During March and April, the budget is presented to the Board of Education at various budget workshops.  At this time, the Board has the opportunity to address specific questions.  The District does not use a specific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