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Assistant Superintendent &amp; Chief Administrative Officer and the Superintendent of Schools. The Superintendent's Staff, consisting of the Assistant Superintendents for Curriculum and Instruction, Pupil Personnel Services, and Personnel along with the Assistant Superintendent and Chief Administrative Officer work with the Superintendent to review curriculum needs, evaluate programs and plan staffing and plant needs. input is gathered from principals, teachers, and other administrators to inform the work of the Superintendent &amp; Staff. In addition, principals are allocated funds for instructional and office supplies, textbooks, software, library materials and daily building needs based on projected enrollment. The only exception to this process is Birchwood School. As a strictly special education building with a small population, IEP requirements figure more prominently in the building budget than in the other, more typical settings. Additional funding for instructional initiatives, central services, professional development opportunities, instructional technology, safety and security and staffing are allocated based on the unique needs of each building and their population. This process usually begins late in the fall and lasts until the final draft of the Superintendent's budget is provided to the Board of Education. In January, when the data becomes available, the District Treasurer performs the Tax Cap calculation and, combined with the Executive Budget estimates for NYS Aid, creates a revenue budget. The Assistant Superintendent &amp; Chief Administrative Officer and the District Treasurer take the appropriation plans developed earlier and balance the budget with the projected revenue.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Birchwood School is a special District school for students with learning and behavioral needs. As a K-12 School, they require staffing for all high school student requirements as well as all "specials". The enrollment is less than 100 students, many of whom require additional support in various areas. This creates a higher per student spending ratio than our other buildings. In addition, as unusual needs arise throughout the year, resources may be redirected to meet those needs. For example, if a particular building has an uncharacteristically high free and reduced population or influx of ELL students or any such circumstance, the District has funds budgeted at the district level that can be deployed to cover any additional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