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led by the Assistant Superintendent &amp; Chief Administrative Officer and the Superintendent of Schools. The Superintendent's Staff, consisting of the Assistant Superintendents for Curriculum and Instruction, Pupil Personnel Services, and Personnel along with the Assistant Superintendent and Chief Administrative Officer work with the Superintendent to review curriculum needs, evaluate programs and plan staffing and plant needs. input is gathered from principals, teachers, and other administrators to inform the work of the Superintendent &amp; Staff. In addition, principals are allocated funds for instructional and office supplies, textbooks, software, library materials and daily building needs based on projected enrollment. The only exception to this process is Birchwood School. As a strictly special education building with a small population, IEP requirements figure more prominently in the building budget than in the other, more typical settings. Additional funding for instructional initiatives, central services, professional development opportunities, instructional technology, safety and security and staffing are allocated based on the unique needs of each building and their population. This process usually begins late in the fall and lasts until the final draft of the Superintendent's budget is provided to the Board of Education. In January, when the data becomes available, the District Treasurer performs the Tax Cap calculation and, combined with the Executive Budget estimates for NYS Aid, creates a revenue budget. The Assistant Superintendent &amp; Chief Administrative Officer and the District Treasurer take the appropriation plans developed earlier and balance the budget with the projected revenue.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Birchwood School is a special District school for students with learning and behavioral needs. As a K-12 School, they require staffing for all high school student requirements as well as all "specials". The enrollment is less than 100 students, many of whom require additional support in various areas. This creates a higher per student spending ratio than our other buildings. In addition, as unusual needs arise throughout the year, resources may be redirected to meet those needs. For example, if a particular building has an uncharacteristically high free and reduced population or influx of ELL students or any such circumstance, the District has funds budgeted at the district level that can be deployed to cover any additional needs.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