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done collaboratively with school administration, the Board of Education and all stakeholders.
</w:t>
      </w:r>
    </w:p>
    <w:p>
      <w:pPr>
        <w:ind w:left="720"/>
      </w:pPr>
      <w:r>
        <w:rPr>
          <w:rFonts w:ascii="Garamond" w:hAnsi="Garamond"/>
        </w:rPr>
        <w:t>A minimum of 5 public hearings are held to disseminate information and ask for feedback regarding important budgeting decisions.
</w:t>
      </w:r>
    </w:p>
    <w:p>
      <w:pPr>
        <w:ind w:left="720"/>
      </w:pPr>
      <w:r>
        <w:rPr>
          <w:rFonts w:ascii="Garamond" w:hAnsi="Garamond"/>
        </w:rPr>
        <w:t>Committees are held to garner feedback from parents, students and our local unit members focusing on programs and student needs.  Our Assistant Superintendent of Curriculum and instruction works closely with our teachers, building administrators and special education department to identify learning gaps and provide programing to support all children.  
</w:t>
      </w:r>
    </w:p>
    <w:p>
      <w:pPr>
        <w:ind w:left="720"/>
      </w:pPr>
      <w:r>
        <w:rPr>
          <w:rFonts w:ascii="Garamond" w:hAnsi="Garamond"/>
        </w:rPr>
        <w:t>The budget process begins in December, using a five year plan to identify spending trends and continues throughout March. It includes meetings with all stakeholders to assess programing.  
</w:t>
      </w:r>
    </w:p>
    <w:p>
      <w:pPr>
        <w:ind w:left="720"/>
      </w:pPr>
      <w:r>
        <w:rPr>
          <w:rFonts w:ascii="Garamond" w:hAnsi="Garamond"/>
        </w:rPr>
        <w:t>Our strategic planning committee which includes board members, parents, teachers, staff, students and administrators sets the priorities for the District.  This plan guides our priorities for upcoming years.   Building administrators along with their teacher leaders will advocate for their individual school needs.  Meetings occur prior to setting the budget to identify impact items for each building or special area.
</w:t>
      </w:r>
    </w:p>
    <w:p>
      <w:pPr>
        <w:ind w:left="720"/>
      </w:pPr>
      <w:r>
        <w:rPr>
          <w:rFonts w:ascii="Garamond" w:hAnsi="Garamond"/>
        </w:rPr>
        <w:t>The District does not use a formula to allocate funds to individual schools.  School needs are met based on student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We house all of our ELL elementary students at one elementary building.  We have our high needs behavior class housed at a different elementary building.  This will escalate those costs at the building level.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Transportation costs are anticipated to go up significantly as we will be contracting out additional runs due to driver shortages.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