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School Business Administrator and the Superintendent of Schools.  The budget development begins in October/November and ends with the Board of Education adopting a budget in April that will be voted on by the eligible voters of the District in May.  Budget development is a collaborative project with each administrator developing their portion of the budget.  In doing so, principals will consult with instructional staff as necessary to best address classroom and programmatic needs.  At Board of Education meetings, various portions of the budget are presented to the Board.  School Board members provide feedback and questions during these presentations.  The district does not utilize a formula to allocate funds to individual schools.  Instead, funding amounts are allocated based on the specific needs of each school or department as communicated by the building principal during the budget development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elementary is higher than the High School and Middle School due to the district's focus on smaller class sizes, more learning opportunities for the students and keeping all materials and supplies as a district cost and not burdening the parents with the expense each school year. The projects and social and emotional needs of our elementary students is a target for the district and therefore results in a higher cost for the building. The district feels strongly in early intervention as a method to achieve it's high standards for our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