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starts in early November and ends in early April.  The budget development process is led by the superintendent and the business administrator.  Building Principals, the Personnel manager, the Superintendent, union representatives and community members are all invited to participate in the budget process.  Representatives from the board of education attend the various budget development workshops.  
</w:t>
      </w:r>
    </w:p>
    <w:p>
      <w:pPr>
        <w:ind w:left="720"/>
      </w:pPr>
      <w:r>
        <w:rPr>
          <w:rFonts w:ascii="Garamond" w:hAnsi="Garamond"/>
        </w:rPr>
        <w:t>Student with the highest needs are given additional supports.  
</w:t>
      </w:r>
    </w:p>
    <w:p>
      <w:pPr>
        <w:ind w:left="720"/>
      </w:pPr>
      <w:r>
        <w:rPr>
          <w:rFonts w:ascii="Garamond" w:hAnsi="Garamond"/>
        </w:rPr>
        <w:t>The principals, ELL/ENL Director, Special Ed Director and the Assistant Supt for Curriculum meet and discuss the needs of the students.  The students needs (additional supports/staffing) are quantified and are then prioritized in the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Per pupil spending are higher at some schools because they contain staff that have been employed by the district longer.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