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Board of Education’s Vice-President who also serves as the chair of the Board Finance Committee.  The Vice-President is closely assisted in this process by Central Administration as well as district teachers and administrators as necessary and appropriate.  Building principals, academic administrators, the Director of Special Services, and various faculty members participate in the budget process by identifying the needs of individual and groups of students then creating the appropriate staffing arrangements to meet those needs.  These identified needs become part of the overall budget process.  This budget process begins in December of every year with the publishing of the Board of Education Goals, Central Administrations identification of the context of the budget, and a timeline for budget development.  This concludes with the annual school budget vote in May.
</w:t>
      </w:r>
    </w:p>
    <w:p>
      <w:pPr>
        <w:ind w:left="720"/>
      </w:pPr>
      <w:r>
        <w:rPr>
          <w:rFonts w:ascii="Garamond" w:hAnsi="Garamond"/>
        </w:rPr>
        <w:t>All district administrators are involved in the budget development process.  Many district faculty members participate in this process through their respective administrators.  The School Board monitors the entire process, receives detailed financial information in January, asks for presentations by administration to learn more about areas they want more information on, holds a budget forum with the community, and ultimately adopts the annual budget.
</w:t>
      </w:r>
    </w:p>
    <w:p>
      <w:pPr>
        <w:ind w:left="720"/>
      </w:pPr>
      <w:r>
        <w:rPr>
          <w:rFonts w:ascii="Garamond" w:hAnsi="Garamond"/>
        </w:rPr>
        <w:t>The district does not use a specific formula to allocate funds, but rather identifies the specific needs of students across all settings and makes sure the appropriate staffing and other resources are dedicated to meeting that need.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