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led by the Superintendent and business official. The district also operates a Board appointed Budget Advisory Committee that serves as a community review and advisement resource. 
</w:t>
      </w:r>
    </w:p>
    <w:p>
      <w:pPr>
        <w:ind w:left="720"/>
      </w:pPr>
      <w:r>
        <w:rPr>
          <w:rFonts w:ascii="Garamond" w:hAnsi="Garamond"/>
        </w:rPr>
        <w:t>
</w:t>
      </w:r>
    </w:p>
    <w:p>
      <w:pPr>
        <w:ind w:left="720"/>
      </w:pPr>
      <w:r>
        <w:rPr>
          <w:rFonts w:ascii="Garamond" w:hAnsi="Garamond"/>
        </w:rPr>
        <w:t> Our budget process is completely based on student needs. In the last couple years, we determined to expand our Pre-K program as a means to establish fundamental literacy skills. In the past three years, we re-established an Agricultural Science program in the secondary school and added college credit bearing courses to enhance college readiness. The combination of these provides both CTE opportunities and college pathways. With our new Federal Funding we appointed a College and Career Readiness Instructor who will work closely with students and staff for the next three years to prepare them for the future after High School.
</w:t>
      </w:r>
    </w:p>
    <w:p>
      <w:pPr>
        <w:ind w:left="720"/>
      </w:pPr>
      <w:r>
        <w:rPr>
          <w:rFonts w:ascii="Garamond" w:hAnsi="Garamond"/>
        </w:rPr>
        <w:t>
</w:t>
      </w:r>
    </w:p>
    <w:p>
      <w:pPr>
        <w:ind w:left="720"/>
      </w:pPr>
      <w:r>
        <w:rPr>
          <w:rFonts w:ascii="Garamond" w:hAnsi="Garamond"/>
        </w:rPr>
        <w:t>The budget development process typically begins in October and extends through April.
</w:t>
      </w:r>
    </w:p>
    <w:p>
      <w:pPr>
        <w:ind w:left="720"/>
      </w:pPr>
      <w:r>
        <w:rPr>
          <w:rFonts w:ascii="Garamond" w:hAnsi="Garamond"/>
        </w:rPr>
        <w:t>
</w:t>
      </w:r>
    </w:p>
    <w:p>
      <w:pPr>
        <w:ind w:left="720"/>
      </w:pPr>
      <w:r>
        <w:rPr>
          <w:rFonts w:ascii="Garamond" w:hAnsi="Garamond"/>
        </w:rPr>
        <w:t> B. Teachers are asked to submit budget requests, Department Chairs/Curriculum Coordinators collaborate with Principals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 we may have a higher special education cost because we committed to a fully inclusive model of special education delivery and hired a special education teacher to serve each grade level. At the secondary level, we have more of a consultant model and thus fewer special education teachers to provide that type of service.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