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Beaver River Central School utilizes a multi-year budget modeling for the development of annual operating budgets for the district. 
</w:t>
      </w:r>
    </w:p>
    <w:p>
      <w:pPr>
        <w:ind w:left="720"/>
      </w:pPr>
      <w:r>
        <w:rPr>
          <w:rFonts w:ascii="Garamond" w:hAnsi="Garamond"/>
        </w:rPr>
        <w:t>The model includes specific multi-year plans for general operations costs, such as: Asset acquisitions, Debt Service, Utilities, Administrative Costs, and Third-Party Services (Contractors) etc. 
</w:t>
      </w:r>
    </w:p>
    <w:p>
      <w:pPr>
        <w:ind w:left="720"/>
      </w:pPr>
      <w:r>
        <w:rPr>
          <w:rFonts w:ascii="Garamond" w:hAnsi="Garamond"/>
        </w:rPr>
        <w:t>Instructional costs are development based on students counts and student needs, such as: Instructional Staffing, Classroom supplies and Third-party services (BOCES).  Budgets are then determined for each building level based on this information.
</w:t>
      </w:r>
    </w:p>
    <w:p>
      <w:pPr>
        <w:ind w:left="720"/>
      </w:pPr>
      <w:r>
        <w:rPr>
          <w:rFonts w:ascii="Garamond" w:hAnsi="Garamond"/>
        </w:rPr>
        <w:t>Non-Compensated Benefits (Fringes) are calculated once staffing and rates are known. 
</w:t>
      </w:r>
    </w:p>
    <w:p>
      <w:pPr>
        <w:ind w:left="720"/>
      </w:pPr>
      <w:r>
        <w:rPr>
          <w:rFonts w:ascii="Garamond" w:hAnsi="Garamond"/>
        </w:rPr>
        <w:t>The annual budget process includes discussions with Instructional Administrative staff and review and approval of the BOE Finance Committee. The annual budget process begins in December, with final BOE approval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None.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None.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