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and Business Manager lead the development of the budget process starting in November.  They present a budget calendar to the Board of Education; once approved the process for reporting the budget by area is scheduled for future meetings. This process ends in April so that budget newsletters and other required information can be presented/shared with taxpayers; also to prepare for the Budget Hearing in May.  
</w:t>
      </w:r>
    </w:p>
    <w:p>
      <w:pPr>
        <w:ind w:left="720"/>
      </w:pPr>
      <w:r>
        <w:rPr>
          <w:rFonts w:ascii="Garamond" w:hAnsi="Garamond"/>
        </w:rPr>
        <w:t>The needs of students are translated into the budget by leadership having multiple meetings with department leaders between November and March.  Department leaders meet with their department to prepare a budget for their programs.  All requests are included in the budget and cuts are only made when funding limits them.  
</w:t>
      </w:r>
    </w:p>
    <w:p>
      <w:pPr>
        <w:ind w:left="720"/>
      </w:pPr>
      <w:r>
        <w:rPr>
          <w:rFonts w:ascii="Garamond" w:hAnsi="Garamond"/>
        </w:rPr>
        <w:t>The district does not use a formula to allocate funds to individual schools.  Allocations are determined by the needs of students as a whole.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High School is higher than the district average because their programs always cost more.  Examples are: Occupational Education through BOCES, Project Lead the Way pre-engineering programs; supplies and equipment for science and music programs.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