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approach to allocating funds to each school is to have in depth conversations and reviews of the student population for each building.  Knowing what challenges face our staff based on pupil needs helps redirect funds to better serve the students of the district.   
</w:t>
      </w:r>
    </w:p>
    <w:p>
      <w:pPr>
        <w:ind w:left="720"/>
      </w:pPr>
      <w:r>
        <w:rPr>
          <w:rFonts w:ascii="Garamond" w:hAnsi="Garamond"/>
        </w:rPr>
        <w:t>B.) The budget process involves all administrators, buildings and grounds, food service manager, CSE chair in the construction of the budget.  Once we have a full understanding of everyone's wants and needs for the upcoming school year (multiyear plans) we can begin to plan and implement the needs of the district combined with what is possible due to funding constraints.
</w:t>
      </w:r>
    </w:p>
    <w:p>
      <w:pPr>
        <w:ind w:left="720"/>
      </w:pPr>
      <w:r>
        <w:rPr>
          <w:rFonts w:ascii="Garamond" w:hAnsi="Garamond"/>
        </w:rPr>
        <w:t>C.) We are not allocating a significant portion of the funds to one area over another.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