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SCHOOL BUSINESS MANAGER LEADS BUDGET DEVELOPMENT.  THIS PROCESS STARTS IN LATE NOVEMBER AND IS A COLLABORATIVE EFFORT WITH KEY STAKEHOLDERS INCLUDING BOE MEMBERS, SUPT, PRINCIPALS, DEPARTMENT HEADS AND OTHERS.  BUDGET DEVELOPMENT IS BASED AROUND STUDENT NEEDS.  STUDENT NEEDS ARE PLACED FIRST AND THE BUDGET IS DEVELOPED WITH THAT IN MIND, PRINCIPALS AND DEPARTMENT HEADS PLAY A GREAT ROLE IN DECIDING WHAT NEEDS TO BE PLACED IN THE BUDGET IN THE IMMEDIATE BUT ALSO FUTURE BUDGETS TO ENSURE WE OFFER UNIQUE, INTERESTING AND COLLABORATIVE LEARNING.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SECONDARY SCHOOL HAS AN 8:1:1 CLASS WHICH CAN DRIVE COST FOR THAT BUILDING.  SECONDARY BUILDING ALSO RECEIVES OTHER SUPPORT AND SERVICES AS STUDENTS GET READY TO GRADUATE AND PURSUE COLLEGES OR THE WORKFORCE.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