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Superintendent leads budget development.  All staff is asked for input to needs and wants of the district.  Each Supervisor then communicates these needs in 1:1 meetings with Superintendent.  The district does not use a a formula, but asks each school and department to submit a budget.  The board of education communicates the target tax increase and each budget is adjusted as determined by each school or departments priorities.  The budget development is started in late December and continues to early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Enrollment numbers translate to the expense.  There a number of new teachers throughout the district.  The Elementary school had a three people retire that directly affects the cost per pupil.  The district is very small.  The ES is K-5 and MHS is 6-12.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With the amount of ARP funding to the district the costs have exceed the normal levels of previous years.  We are running after school programs and summer learning programs to help mitigate the impact of the pandemic on student learning loss.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