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person budget meetings with department leaders, building principals, administrators, and others as needed. During this process, previous year expenditures are discussed including normal and out of the ordinary expenditures. Upcoming year anticipated expenditures are then discussed, both normal and potential needs for the year. Collectively, these operating expenditures are discussed. Large discrepancies in spending between buildings and departments are also discussed at this stage as well as anticipated staff needs, retirements, replacements, or the decision to not fill positions that are no longer necessary for the growth of the district. B. The district business official and superintendent collectively meet with the following stakeholders: building leadings, directors/department heads (transportation, food service, technology, buildings and grounds), committee groups such as the district leadership team, and the audit committee which consists of School Board members. The budget development process is also updated publicly at each Board meeting starting in December throughout the winter until a balanced budget with stakeholder input is present to the Board for adoption to present to the public. C.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