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of Schools and School Business Administrator review macroeconomic factors to determine acceptable parameters for budget-to-budget growth. After these parameters are established the curricular needs of students are prioritized based upon the District's K-12 scope and sequence to determine building level needs for curricular consumables, texts, and software programming. This follows the District's long-term strategic plan, and all district administrators work with building based decision making teams to establish building priorities that are addressed in the budget. The budgeting process begins in November with a review of the current year's budget performance, and macroeconomic growth factors. As elements such as state aid, tax cap factors, and benefit rates become more clear, these variables are weighed against the District's long term strategic plan and priorities. This is done through several budget presentations to the board of education and a workshop where these variables are discussed. The district does not use a formula to allocate funds, as the needs of various grade level and programmatic areas will vary and cannot be distributed via a flat formula</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As a small, rural district, there are certain fixed costs associated with operating school buildings and fluctuations in class size/grade level enrollment will have a factor on the net per-pupil expense. The districts per-pupil expenditure per building therefore has a direct relationship to the enrollment of the building.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