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and School Business Administrator review macroeconomic factors to determine acceptable parameters for budget-to-budget growth. After these parameters are established the curricular needs of students are prioritized based upon the District's K-12 scope and sequence to determine building level needs for curricular consumables, texts, and software programming. This follows the District's long-term strategic plan, and all district administrators work with building based decision making teams to establish building priorities that are addressed in the budget. The budgeting process begins in November with a review of the current year's budget performance, and macroeconomic growth factors. As elements such as state aid, tax cap factors, and benefit rates become more clear, these variables are weighed against the District's long term strategic plan and priorities. This is done through several budget presentations to the board of education and a workshop where these variables are discussed. The district does not use a formula to allocate funds, as the needs of various grade level and programmatic areas will vary and cannot be distributed via a flat formula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a small, rural district, there are certain fixed costs associated with operating school buildings and fluctuations in class size/grade level enrollment will have a factor on the net per-pupil expense. The districts per-pupil expenditure per building therefore has a direct relationship to the enrollment of the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