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have one school building where all of the district offices are housed, therefore there is no separation of funds between buildings. 
</w:t>
      </w:r>
    </w:p>
    <w:p>
      <w:pPr>
        <w:ind w:left="720"/>
      </w:pPr>
      <w:r>
        <w:rPr>
          <w:rFonts w:ascii="Garamond" w:hAnsi="Garamond"/>
        </w:rPr>
        <w:t>The budget process begins in November and goes until the budget is adopted by the BOE in April. The Treasurer and Superintendent hold budget workshops in January, February and March with the Board of Education to proceed through the details. The Treasurer begins to build the budget by preparing folders for each teacher and department which include a summary page of previous year's allocated amount per code, new copies of requisitions, and our central supply closet request form. The classroom teachers and department heads have the opportunity to request supplies, trainings, textbooks, technology, contractual services and items as necessary. These folders are returned to the Treasurer in January to be entered in to the budget module. The students needs are translated in to the budget through the teachers budgeting process, they know the induvial needs of the students and plan appropriately. Furthermore, the Treasurer meets with the CSE Chairperson and the Superintendent and the out of district and students with disabilities are planned for. After this information is compiled the budget totals are prepared as well as the tax cap and state aid funds available. If cuts are necessary they are made. The budget is adopted and the folders are returned to the staff for verification if and when the budget is passed by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is unique in that we are one building housing all of the district offices and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