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Assistant Superintendent for Finance but many stakeholders are involved.  In addition there is close collaboration at the district level among the superintendent, assistant superintendent for instruction and the assistant superintendent for human resources.  The Board of education establishes the budget parameters as well the the envelope through workshops as well as regular updates at board meeting.  Much of the detailed budgeting occurs at the building level as principals engage their staffs and project staffing and other needs based on their student population.  They work collaboratively with their teacher leaders and other staff to ensure balance.
</w:t>
      </w:r>
    </w:p>
    <w:p>
      <w:pPr>
        <w:ind w:left="720"/>
      </w:pPr>
      <w:r>
        <w:rPr>
          <w:rFonts w:ascii="Garamond" w:hAnsi="Garamond"/>
        </w:rPr>
        <w:t>During the budget process funding for textbooks, supplies and materials for Art, Music, and Athletics are allocated to the schools on a per pupil basis using the next year’s projected enrollment. Contractual services are budgeted on the basis of continuing needs. Other expenses for BOCES, administrative expenses, debt, salary, benefits, and other district wide codes are budgeted by the business office using estimated expenses and prior year actuals.  Special Education and ELL expenses are budgeted by the PPS office using individual student projected expenses.  This is reflected in both the required staffing levels at the respective buildings as well as in any needed out-of-district program expenses. Building budgets, Transportation, Facilities, Personnel, Board of Ed, Curriculum and Instruction, are all budgeted by the respective administrator in charge, based on a review of projected expenses with reference to prior year’s actual expenses. For most departments, the 2021-22 budget was built on a zero-based budgeted process. The school buildings are provided a total amount “guide” that is on a per pupil basis with adjustments annually for enrollment changes as well as a CPI increase. Any recommendations for new programs and/or changes in staffing levels are submitted to the Deputy Superintendent.  These changes are reviewed with the District Cabinet with recommendations ultimately being made to the Board of Education. All equipment requests are accompanied by detailed information in the budget code which specifies if it is new or replacement equipment and, if replacement, a description of what it is replacing.  Salaries and benefits increases are based on contractual obligations with modifications for any known specific changes in personnel (i.e. a retirement).  From an overall budgeting perspective the major controls regarding the overall framework of the budget include: the NYS tax cap, the projected state aid (initially based on the governor’s budget and ultimately the budget approved by the legislature) as well as a sustainable inclusion of savings (fund balance and/or reserves).  We continue to make a concerted effort again to develop a budget that minimizes any variance from the actual expenditures while at the same time including monies for unknown contingencies.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certain schools but we do have 6 small neighborhood K-3 buildings which may produce data based on variations in enrollment and/or student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that we are aware of.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