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Finance &amp; Operations leads the budget development process.  The process begins late October to early November with calendar development and roll forward of "known" budget items, such as contractual salaries and benefits, and debt service.  The individual school enrollment percentage to the district enrollment as a whole is used to allocate instructional material aids (textbook, software, hardware, library), materials and supplies, and district-wide codes such as: equipment, field trips, school physician, etc.  Building specific funds are allocated based on contractual obligations, i.e. clubs, intramurals, sports, as noted in bargaining unit contracts.  Building principals and department leaders are asked to provide their specific budget needs before leaving for the winter break.  Meetings are held with curriculum leaders and human resources to address personnel additions or excessing based on enrollment.  The Director of Student Services provides budget input for students with disabilities.  Central Administration (Superintendent, Finance &amp; Operations, Human Resources, and Curriculum &amp; Instruction) meets in mid-January for a line by line review of the first draft.  In February, the first draft is presented to the Board of Education, which focuses primarily on revenues and the tax levy calculation.  The Board provides input and guidance on the preliminary appropriations budget.  Central Administration will meet to incorporate the Board's input as well as to continue updates as final figures become available. There will be one-two more budget presentations in March based on revisions as final figures become available and revisions based on Board input.  Board adoption of the budget is in late March or early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differences between similar schools are primarily due to the experience level of the teaching staff in each building and the specific programs housed in a particular school, i.e. self-contained programs.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