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Business Executive leads the budget development process.  Enrollment is looked at, meetings with building principals and the director of Special Education are done.  The process begins in November, and the BOE approves the budget for a vote in April.  The School Business Executive leads the budget, special education is a big driver on spend, so a meeting is held with that department, BOCES amounts are a collaboration with the Superintendent and building principals.  Debt Services schedules are looked at, a presentation to the Board of Education happens every month November - April regarding each area of the budget.  Contracts for salaries are taken into consideration.  ESSA Grants and IDEA grants are discussed with their respective administrator.  No formula is used for individual schools.  We discuss the student's needs at each level.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