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no formula in place to allocate to the four schools in the district.  The district allocates funds based on the district initiatives, educational programs, student enrollment and needs of students estimated on previous years spending and projected changes staff and new initiatives.  Each Year around early January, the Superintendent and Business Administrator sits down with the Administrative team on an individual basis to access what changes have happened over the past 12 months. Programs and staff are reviewed. Class sizes are reviewed and tracked from year to year to adjust for an exceptionally small or large class. Recommendations are made to what budget lines could be reduced and what funding the building level administration would like to see added to make their programs stronger. All budget lines are looked at by comparing actual expenditures to budget for the last 3 to 5 years.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The Board has a finance committee that meets monthly year-round to help direct the decisions being made.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If a history teacher were to retire it may make funding available for a reading teacher to be hired.  This may change the staffing level across buildings.  The district has a very transient population with high needs.  It is necessary to allow for a high number of students to move into the district and receive services.  It is hard to predict at a building level what the increases will be so this is budgeted on a district wide level.  Most special needs services are purchased through the BOCES.  A high percentage of the hardware such as computers and xerox machines are leased through BOCES to generate a consistent aid stream. This helps to maximize the use of the districts funding and is budgeted on a building wide basis. For the 2021-2022 school year the district is continuing the UPK program that was new in 2020-2021.  The ESSER grant has funded many new initiatives to facilitate the students catching up due to the lost time of learning because of the pandemic.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