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Asst. Supt. for Business lead the budget development process, which begins in October and ends with the proposed budget in March for the board of education to review.  We follow a budget calendar that is developed in August of each year and is also approved by the board.  This is shared with building principals, directors and asst. supts.  New staff requests, supplies, equipment and other requests are developed by the principals, directors and asst. supts. and submitted in January to the asst. supt for business.  Student needs are addressed by each building and department, based upon the curriculum instruction, number of students per classroom and ultimately a zero based budget.  The budget is presented to the board and the public throughout the month of March and April.  The board adopts the budget in April, prior to the date the Property Tax Report Card is due.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does not have a significantly different cost per student throughout the district any longer.  This is largely due to the retirements experienced by the district over the past 3 years.  The high school has a higher per student cost than the elementary and middle schools and this is due to the number of teachers required for block scheduling and the various courses offered to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been experiencing a large increase in the non-public students and in the special education students.  This has resulted in additional costs for the non-public student transportation.  The district had to bid this contract transportation out and the amounts bid by the contractor were much higher than our prior contractor.  This in combination with the increased residents that send their student to non-public schools, has increased our budget tremendously.  We have also brought back a number of special education students from BOCES to be educated in district.  This has increased our costs for instructional salary.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