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With approximately 60% of our budget consisting of personnel and fringe benefits, we begin the budget process on staffing.  Regular education staffing is based on enrollment, with input from the Director of Curriculum &amp; Instruction, as well as the building principals.  Special Education staffing is allocated to schools based on the number of special needs student per building, with input from the Director of Special Education.  Staffing for our ENL population is done in the same manner stated above.  Our main goal is to keep class sizes to numbers that are conducive to meeting the educational needs of students, and give equal amounts of support staff to each building.  Once staffing is complete we calculate our employees fringe benefits.  We base these on the estimated contribution rates we receive from NYS Teachers, and Employees retirement systems.  Then we meet with our Health Insurance carrier to review our cost.  The next step is to review our transportation costs, debt service costs, and our BOCES costs as these are a high percentage of our total budget.   We meet with each building principals and district administrators to review the needs of each building and department.  We then allocate funds for instructional materials.  Once our budget process is complete, which is normally a 3 to 4 month process, we present the budget to our Board of Education for their review and approval.  The budget is then voted on by the public at the annual election held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factor which explains why per pupil spending would vary is due to staffing.  Salaries and benefits for more senior staff would be dramatically higher than new staff.  We also serve a large population of refugees, immigrants, and special needs students, and the cost of providing educational services is much higher.   Based upon the residency of these students, this could dramatically increase the cost of per pupil spending at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