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With approximately 60% of our budget consisting of personnel and fringe benefits, we begin the budget process on staffing.  Regular education staffing is based on enrollment, with input from the Director of Curriculum &amp; Instruction, as well as the building principals.  Special Education staffing is allocated to schools based on the number of special needs student per building, with input from the Director of Special Education.  Staffing for our ENL population is done in the same manner stated above.  Our main goal is to keep class sizes to numbers that are conducive to meeting the educational needs of students, and give equal amounts of support staff to each building.  Once staffing is complete we calculate our employees fringe benefits.  We base these on the estimated contribution rates we receive from NYS Teachers, and Employees retirement systems.  Then we meet with our Health Insurance carrier to review our cost.  The next step is to review our transportation costs, debt service costs, and our BOCES costs as these are a high percentage of our total budget.   We meet with each building principals and district administrators to review the needs of each building and department.  We then allocate funds for instructional materials.  Once our budget process is complete, which is normally a 3 to 4 month process, we present the budget to our Board of Education for their review and approval.  The budget is then voted on by the public at the annual election held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One factor which explains why per pupil spending would vary is due to staffing.  Salaries and benefits for more senior staff would be dramatically higher than new staff.  We also serve a large population of refugees, immigrants, and special needs students, and the cost of providing educational services is much higher.   Based upon the residency of these students, this could dramatically increase the cost of per pupil spending at that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