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Union-Endicott funds are allocated focusing on a variety of factors. Allocations to each school are based on student population and class size ratios, which are outlined by the teacher contract.  Special education allocations are based on students with disabilities enrollment and IEP services.  ELL allocations are based on required services per SED.  Title I funding is allocated to each school based on per-pupil amount.  611 and 619 funding are based on students with disabilities programming and services at each of the buildings.  Community schools funding is allocated district-wide, with one FTE being shared among the four elementary schools, one at the middle school and one at the high school.  Other grant funding is specific to the funding allocations outlines by NYS Education Department.  Each year, the central office administration meet with building leaders to review current data and develop a list of needs for academic needs and programs that would benefit the progress of district students.  The budget is reviewed with each of the building leaders looking for consistency and any special needs that may have surfaced.  Working closely with the accountant and the BOCES Central Business Office, a draft budget is prepared and shared through a series of budget workshops with the Board of Education.  As the allocations are finalized from NYS, the Board makes a final decision on the budget and sends it to the community for the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LWW "Tiger Ventures" is a unique school, just 5 years old, that houses grades 8-12 as a nontraditional high school.  It has a very low enrollment by design to maximize instruction.  Due to this small student body, and the special services some of them require, the cost per pupil is higher than the other district schools.  In addition, this year, the decision was made to transfer the three 12:1:1 classes that were in the elementary wing to another elementary school in district and use the wing to house outside UPK and BOCES Crossroads programming.  Some other variances in the per pupil expenditures are related to the number of new teachers hired at the school costing less than veteran teachers.  One building has all the K-5 ENL program housed at their site, while two other buildings have the K-3 and 3-5 12:1:1 programs.  These programs have a variance of cost to them including the need for specialized teachers and service providers.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is not applicable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