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Superintendent, Business Official, Elementary Principal, MS/HS Principal. Student needs are translated into the budget via requests from teaching and pupil support service staff to their building principal and/or directly to the Superintendent and Business Official. The budget process begins in October with adoption of the budget calendar by the Board and ends in May.
</w:t>
      </w:r>
    </w:p>
    <w:p>
      <w:pPr>
        <w:ind w:left="720"/>
      </w:pPr>
      <w:r>
        <w:rPr>
          <w:rFonts w:ascii="Garamond" w:hAnsi="Garamond"/>
        </w:rPr>
        <w:t>B. The budget development process also includes the Board of Education and the heads of various departments (Transportation, Food Service, Buildings &amp; Grounds). The School Board's primary role is to review and comment on budget proposals as they're developed and presented. No budget will be presented to the voters with their approval. The school is comprised of a single K-12 building and a Bus Garage located on one campus.
</w:t>
      </w:r>
    </w:p>
    <w:p>
      <w:pPr>
        <w:ind w:left="720"/>
      </w:pPr>
      <w:r>
        <w:rPr>
          <w:rFonts w:ascii="Garamond" w:hAnsi="Garamond"/>
        </w:rPr>
        <w:t>C. No formula is used to allocate funding. Budgets are built from the bottom up based upon need as communicated through the channels previously described.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