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Board of Education directs the administrators to develop a fiscally responsible budget.  The Assistant Superintendent for Business leads the budgeting process.  Beginning in December, budget guidelines and analyses are discussed with Principals &amp; Directors.  They in turn meet with staff to determine personnel and curriculum needs. Administration reviews test and classroom data to determine program needs.  The budget is proposed and discussed in public BOE meetings in February, March, and April with a vote in May.
</w:t>
      </w:r>
    </w:p>
    <w:p>
      <w:pPr>
        <w:ind w:left="720"/>
      </w:pPr>
      <w:r>
        <w:rPr>
          <w:rFonts w:ascii="Garamond" w:hAnsi="Garamond"/>
        </w:rPr>
        <w:t>B.	Employees involved in the budget development process are - Administration, School District Treasurer and Teachers. The School Board provides guidelines for class sizes and programmatic direction.  The Building Principals represent the needs of individual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has higher per pupil spending than the other buildings due to the additional offerings such as, advanced placement classes and occupational education programs. In addition, the interscholastic athletic program and the extracurricular clubs are included in the Middle/High School pupil support service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offers a specialized and vast continuum of special education services and classes in all three buildings.  The District accepts non-resident tuition form other public-school districts to attend our special education programs.  The costs for these programs are included in building costs but are offset by tuition revenues.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