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Troy CSD does not have a specific local formula for allocating funding to each school building.  The District is comprised of 8 buildings – five elementary, one middle school, one high school, and one alternative program.  In addition, the District budgets programmatic services of information technology (IT), special programs, buildings and grounds, athletics, and central/business office services.  Each building/program begins their budgets in late fall. Budget requests are presented to district cabinet members, comprised of the Superintendent, Assistant Superintendents, and HR Director.  A list of program academic priorities is developed.  Certain academic and programming needs are developed based upon current performance indicators, while others are district-wide initiatives.  Once the State Budget is passed the District then finalizes any budget changes with building leaders prior to official adoption by the BOE, and presentation to voters.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Troy CSD receives certain building specific grants, such as at School 2 or Troy Middle School 21st Century Program that increases the per-pupil allocations.</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