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Susquehanna Valley Central School District does not utilize a formula approach, but rather a “zero-based” approach in determining the budgeting funds to the individual schools.  
</w:t>
      </w:r>
    </w:p>
    <w:p>
      <w:pPr>
        <w:ind w:left="720"/>
      </w:pPr>
      <w:r>
        <w:rPr>
          <w:rFonts w:ascii="Garamond" w:hAnsi="Garamond"/>
        </w:rPr>
        <w:t>The School District is a participant in the shared BTBOCES Central Business Office (CBO) service. The CBO assists in the construction of the District’s budget. During the annual budget process, which spans several months, specific building expenditure appropriations are determined in a two part process.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Assistant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