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administrator in collaboration with the superintendent and assistant superintendents leads the budget development process.  The budget process begins in October with a review of the budget calendar and the district's long-range financial plan.  Staffing recommendations are made by building leaders to the director of staff relations based on projected student enrollments in December.  Funding and staffing decisions are adjusted based on student needs which include; poverty measures, projected ELL students, the number of students with disabilities and student achievement at each building.  After the state aid proposal is released in January, the budget is adjusted accordingly.  The board of education takes an active role in the budget process from January - April as outlined in the district's budget calendar.  The board of education considers the educational needs of the district and the potential tax impact on the community during the budget process.  Teachers are an integral part of the budget process.  They submit budget requests in the early fall for supplies and materials.  Support staff supervisors and the athletic director also have an important role in the budget.  Transportation, safety, technology and custodial maintenance budgets are reviewed early in the budget process to ensure smooth operations.  In general, budget development decisions are based on the student needs described above but a formula is not in use at this time.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its own "in-house" special education program.  The district has recently expanded the use of summer school programs and learning institutes after school to assist with COVID related learning gaps that may have been created.  The middle school uses a teaming approach for all students which results in the need for additional staffing and supports. The middle school has also recently added additional counseling services.  The middle school enrollment has decreased by approximately 30 students and it has a more experienced staff. These factors provide a plausible explanation regarding the higher expenditure per pupil figure at the middle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