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along with conversations with the Superintendent initiates the budget early in December with salaries, benefits, debt service, known contractual costs and estimates based on historical data.  Revenue is determined base on best guesses at the time before the governor's budget comes out in January.  The working copy of the budget is presented to the Board in January.  Discussions are then held on tax impact and the districts educational goals.  Principals along with other Department Heads then review options for extraordinary request for curriculum needs, equipment replacement, textbooks, etc.  The second version of the budget with changes recommended is presented to the Board and public in February.  Final discussions are held on impact and needs of the district.  In March or April the budget is adopted by the board.  This is determined by where we are in the State Aid process and how we think that will impact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is nothing unique.  Like many districts our size, salaries and benefits for the direct care staff is the main driving factor in any of the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