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There is no formula that the District uses for allocating resources/funds to each of its schools. The District uses zero-based budgeting at each of its five buildings. Each building principal is given a budget workbook mid-Fall and he/she works collaboratively with teachers and curriculum specialists to develop the building program requests for materials and supplies (200-520 appropriation object codes).  In January, once initial State Aid projections are released, Central Administration meets with each building principal to determine the feasibility of the building plan and approve/disapprove/modify the Building Spending Plan. 
</w:t>
      </w:r>
    </w:p>
    <w:p>
      <w:pPr>
        <w:ind w:left="720"/>
      </w:pPr>
      <w:r>
        <w:rPr>
          <w:rFonts w:ascii="Garamond" w:hAnsi="Garamond"/>
        </w:rPr>
        <w:t>
</w:t>
      </w:r>
    </w:p>
    <w:p>
      <w:pPr>
        <w:ind w:left="720"/>
      </w:pPr>
      <w:r>
        <w:rPr>
          <w:rFonts w:ascii="Garamond" w:hAnsi="Garamond"/>
        </w:rPr>
        <w:t>Staffing allocation is done at the central administration level. Staffing is driven by current program offerings/needs and collective bargaining unit increases.  Buildings, however, do include staff requests in their budget workbooks.  In central administration's collaboration with buildings in January, these requests for additional staff are also reviewed in light of State Aid projections.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The Middle School has a significant allocation of academic improvement personnel.</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Not applicable to this school district.</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