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Rocky Point School District has historically used enrollment and instructional staffing figures at each school to determine the allocation of funds.  Other major factors that are considered are the varied needs within the school population at each building for the year.  These needs include, but are not limited to: Special Education services; number of new language learners; academic intervention service statistics; gifted and AP programs.  Master scheduling and the number of non instructional staff per building are a consideration as well.  The process for budgeting materials, supplies, equipment, software, textbooks, and contractual services is primarily based on the same parameters as listed previously.   Budget data is requested from staff in the fall of the prior year.  The requests are made at the departmental level.  All expenditures must be justified with appropriate specific information and supporting documentation if necessary.   Requests from individuals are submitted to District Office as a proposed building budget.  The data is reviewed and adjusted as it is collected from all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at all four buildings is approximately the same.  The projection for 2021/2022 has a slightly higher per pupil cost at FJC elementary school and Rocky Point Middle School.  This may relate to slight differences in the years/tenure of the staff at that particular building, changes to the population in the buildings, and how many Special Education students there are in each grade.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