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methodology used in allocating fund to each school begins with conversations with administrators as to where they see the greatest needs of their buildings/programs in the coming year.  The conversations are then distilled into summaries that are presented to the Board of Education for their acceptance, declination or revision.  In general, the allocation of funds by school is based on a formula that ties the spending to a per pupil allocation, driven by the percentage of school’s population to the overall District population.  Thus, because Riverhead High School has 34% of the total student body in the District, we seek to allocate 34% of the available funds for supplies, equipment, textbooks, etc., to the High School.  There are deviations from this formula when the stakeholders make cogent arguments for special needs in a building, such as the wholesale replacement of cafeteria tables at one building or the presence of additional support staff in another.  However, those types of circumstances are the exception to the rule.  In general, the High School gets 34% of the funding, the Middle School and Pulaski get 15% each, Phillips and Riley get 10% each, Aquebogue gets 9% and Roanoke gets 7%.</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concentrated its self-contained elementary classes at Aquebogue and Riley.  Each of these classes has multiple staff members and very small class sizes.  There are multiple self contained classes at each building.  Thus, the allocations for Aquebogue and Riley can be disproportionate for this reason.  Additionally, there is a larger ENL need at Roanoke and Phillips than in the other two K-4 buildings, and thus additional support can be seen there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