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budget development process is a collaborative effort between a multitude of stakeholders across all employee and governance groups, as well as allowing community input. Pleasantville utilizes a site and area-based strategy, which depends on the administrative expertise to develop parts of mini-budgets that will later transition to the district-wide budget. A hybrid approach of zero-based budgeting, line-item budgeting and allotment (formulaic) methodologies are used to determine the appropriate allocation for each budget section. The Superintendent and Assistant Superintendent lead the yearly budgeting process, which begins in November each year with the adoption of the budget calendar and communication of expectations and timelines. Each individual building principal has the responsibility of communicating student needs for the upcoming year through specific staffing, supply or contractual requests. Building principals utilize the instructional expertise of their respective staffs to build textbook, supplies, field trip and staff development requests through a zero-based, grassroots effort. For supplies and materials, textbook and library allocations, the district utilizes a formulaic methodology to determine the appropriate resources that are based on the age and special needs of particular students. For instance, elementary students receive an allocation factor of 1.0, Middle school 1.25, High School 1.5 and Special Education 1.75. For all other school building resources, such as contractual items, equipment, staffing, staff development, the zero-based budgeting methodology us utilized with proper justification and corresponding data, all of which is reviewed by the board of education at its budget workshops.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expenditures average $28,570 for the three buildings. The High School per pupil expenditure is $31,063, which represents a variance of +9%.  Additional expenses in that building are attributable to instructional programs for special needs students, such as the Lab School through Westchester Community College, and the Transitions program, which is for 18-21 year olds who are eligible for this specialized program.  Per pupil expenses for the Bedford Road School are $26,058, which represents a variance of -9%. Lower expenses in this building as compared to the average are attributable to a smaller special needs population. Only 26% of the total special education student population attend school at this location.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