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is a collaborative effort between a multitude of stakeholders across all employee and governance groups, as well as allowing community input. Pleasantville utilizes a site and area-based strategy, which depends on the administrative expertise to develop parts of mini-budgets that will later transition to the district-wide budget. A hybrid approach of zero-based budgeting, line-item budgeting and allotment (formulaic) methodologies are used to determine the appropriate allocation for each budget section. The Superintendent and Assistant Superintendent lead the yearly budgeting process, which begins in November each year with the adoption of the budget calendar and communication of expectations and timelines. Each individual building principal has the responsibility of communicating student needs for the upcoming year through specific staffing, supply or contractual requests. Building principals utilize the instructional expertise of their respective staffs to build textbook, supplies, field trip and staff development requests through a zero-based, grassroots effort. For supplies and materials, textbook and library allocations, the district utilizes a formulaic methodology to determine the appropriate resources that are based on the age and special needs of particular students. For instance, elementary students receive an allocation factor of 1.0, Middle school 1.25, High School 1.5 and Special Education 1.75. For all other school building resources, such as contractual items, equipment, staffing, staff development, the zero-based budgeting methodology us utilized with proper justification and corresponding data, all of which is reviewed by the board of education at its budget workshops.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expenditures average $28,570 for the three buildings. The High School per pupil expenditure is $31,063, which represents a variance of +9%.  Additional expenses in that building are attributable to instructional programs for special needs students, such as the Lab School through Westchester Community College, and the Transitions program, which is for 18-21 year olds who are eligible for this specialized program.  Per pupil expenses for the Bedford Road School are $26,058, which represents a variance of -9%. Lower expenses in this building as compared to the average are attributable to a smaller special needs population. Only 26% of the total special education student population attend school at this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