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Assistant Superintendent for Business, Michael Pacella.  The needs of the students are translated into the budget via the input of the building principals.  The budget development process begins in January and is completed in April.
</w:t>
      </w:r>
    </w:p>
    <w:p>
      <w:pPr>
        <w:ind w:left="720"/>
      </w:pPr>
      <w:r>
        <w:rPr>
          <w:rFonts w:ascii="Garamond" w:hAnsi="Garamond"/>
        </w:rPr>
        <w:t>The collaboration of the budget development is with the District Administrators, building administrators, Principals and Directors.  The school board gives oversight, guidance and approval of the annual budget.  The Principals of each building represent the needs of the school sites.  
</w:t>
      </w:r>
    </w:p>
    <w:p>
      <w:pPr>
        <w:ind w:left="720"/>
      </w:pPr>
      <w:r>
        <w:rPr>
          <w:rFonts w:ascii="Garamond" w:hAnsi="Garamond"/>
        </w:rPr>
        <w:t>The formulaic methodology used to allocate funds to individual schools is as follows for materials and supplies only; k-5 $170/pupil; 6-8 $153/pupil; 9-12 $213/pupil. The formula does not use specific weightings for student needs.  Grant sources are used for students in need.  "Special Needs" students needs are based on the IEP and NYSED mandates.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