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utilized is zero based. Each year during the budget development process, multiple stakeholders are engaged to examine current and future district goals. District level administrators determine the allocation necessary to support student achievement, outcomes, state mandates, and district goals. These are then submitted to the business administrator and superintendent who determine priorities during the budget process through engagement with the Board of Education. When examining district goals, we determine how to achieve goals and what resources are necessary (staffing, materials, equipment, transportation, infrastructures).  All grade levels and program areas for each building are evaluated in this process, once revenue for the upcoming year is determined by state aid and the ability to raise taxes if necessary, the revenue is allocated to support the identified goals during the aforementioned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