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led by the School Business Official. Representing the needs of the students, the Department and Grade Level Chairs assess the needs of grades and departments, bringing those to the building principals. The principals represent the individual buildings. There is also work with representatives of Transportation and Maintenance in setting their budgets based on the upcoming year's needs. All aforementioned parties bring those needs to the SBO who then finalizes the budgets. The school board sets guidelines for the ultimate budget figures. Once finalized, they then vote and approve, sending this approved budget to the voters. This whole process begins in November for the upcoming school year and runs through about April in order to present to voters for the May vote. Budget needs are evaluated on an ongoing basis. The district does not use a formula for allocation to schools, the budget figures are based on projected costs relative to prior years' spending and projected salaries and benefits.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ARP and CRSSA budgets do not reflect the entire award, but that which is projected to be spent in the current school year. We have established a 4 year spending plan for the use of these funds.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