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This process begins with presenting the  budget calendar in October to the Board of Education for approval. In November, the business administrator presents the principal of each building with their spending from the previous year and their budgets for the current year. 
</w:t>
      </w:r>
    </w:p>
    <w:p>
      <w:pPr>
        <w:ind w:left="720"/>
      </w:pPr>
      <w:r>
        <w:rPr>
          <w:rFonts w:ascii="Garamond" w:hAnsi="Garamond"/>
        </w:rPr>
        <w:t>
</w:t>
      </w:r>
    </w:p>
    <w:p>
      <w:pPr>
        <w:ind w:left="720"/>
      </w:pPr>
      <w:r>
        <w:rPr>
          <w:rFonts w:ascii="Garamond" w:hAnsi="Garamond"/>
        </w:rPr>
        <w:t>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In December the business administrator and principals meet to  review spending and discuss students' needs in their buildings. This meeting often includes the Superintendent and the Chairperson for  Special Education. Prior to this meeting, each principal met with the teachers in their building to aid in these discussions.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the central office after reviewing the narrative regarding the requested equipment from each building.   Depending on the type of equipment and needs of specific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