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is lead collaboratively by the District Superintendent and his cabinet working closely with the Board of Education.  The Associate Superintendent for Business Services plays a significant role in the administration of the budget process.  The first major milestone is the proposal of a budget calendar developed by the superintendent’s cabinet.  The Board approves the budget calendar in October of each year.  The process takes from October through the budget vote in May.  The Board is given Monthly status of the Budget process from October through December and twice a month status from January through May.  The Board has a budget subcommittee that meet frequently throughout the process to evaluate progress.  Resources are generally allocated based on the student enrollment with consideration for the unique needs of the student population.  Grant funds are allocated to directly to individual schools based on grant eligibility of the school.  One factor that clouds the picture is the cost of staff is dependent on their years of experience so it may appear that one building is receiving greater resources due to having a more mature staff.  All staff have input into the process through their building principals and or their academic director.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As mentioned above staff experience level drives compensation and can influence spending per pupil. Also grant funding is directly related to the needs of the school and will impact spending per pupil.  We have 2 elementary school where we focus on our ELL’s and these staffing is in place to support these students.  We also have a few schools where we run unique, higher cost special education programs that drive up the spending per pupil in these schools.  Finally, we have worked hard to drive down our class sizes, particularly in school with higher free and reduced lunch rates.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