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collaboratively by the District Superintendent and his cabinet working closely with the Board of Education.  The Associate Superintendent for Business Services plays a significant role in the administration of the budget process.  The first major milestone is the proposal of a budget calendar developed by the superintendent’s cabinet.  The Board approves the budget calendar in October of each year.  The process takes from October through the budget vote in May.  The Board is given Monthly status of the Budget process from October through December and twice a month status from January through May.  The Board has a budget subcommittee that meet frequently throughout the process to evaluate progress.  Resources are generally allocated based on the student enrollment with consideration for the unique needs of the student population.  Grant funds are allocated to directly to individual schools based on grant eligibility of the school.  One factor that clouds the picture is the cost of staff is dependent on their years of experience so it may appear that one building is receiving greater resources due to having a more mature staff.  All staff have input into the process through their building principals and or their academic director.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mentioned above staff experience level drives compensation and can influence spending per pupil. Also grant funding is directly related to the needs of the school and will impact spending per pupil.  We have 2 elementary school where we focus on our ELL’s and these staffing is in place to support these students.  We also have a few schools where we run unique, higher cost special education programs that drive up the spending per pupil in these schools.  Finally, we have worked hard to drive down our class sizes, particularly in school with higher free and reduced lunch rates.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